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Default="003E3409" w:rsidP="00B970FE">
      <w:pPr>
        <w:ind w:firstLine="0"/>
        <w:jc w:val="center"/>
        <w:rPr>
          <w:b/>
          <w:bCs/>
          <w:szCs w:val="18"/>
        </w:rPr>
      </w:pPr>
      <w:r w:rsidRPr="003E3409">
        <w:rPr>
          <w:rFonts w:cs="Tahoma"/>
          <w:bCs/>
          <w:szCs w:val="18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62563BA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2176897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774B7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B852D4A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45E17ABA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774B7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154EF39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10E2AA84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EF4AC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FD189A">
        <w:trPr>
          <w:trHeight w:val="81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47F66DCB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  <w:r w:rsidR="00EF4ACF">
              <w:rPr>
                <w:sz w:val="16"/>
                <w:szCs w:val="16"/>
              </w:rPr>
              <w:t xml:space="preserve"> Não foi localizado no catálogo</w:t>
            </w:r>
            <w:r w:rsidR="00377126">
              <w:rPr>
                <w:sz w:val="16"/>
                <w:szCs w:val="16"/>
              </w:rPr>
              <w:t xml:space="preserve"> eletrônico de padronização.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Default="00212C1D" w:rsidP="002867A8">
      <w:pPr>
        <w:ind w:firstLine="0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748"/>
        <w:gridCol w:w="709"/>
        <w:gridCol w:w="567"/>
        <w:gridCol w:w="1276"/>
        <w:gridCol w:w="1559"/>
      </w:tblGrid>
      <w:tr w:rsidR="00212C1D" w:rsidRPr="00377126" w14:paraId="3B478692" w14:textId="77777777" w:rsidTr="002867A8">
        <w:tc>
          <w:tcPr>
            <w:tcW w:w="10343" w:type="dxa"/>
            <w:gridSpan w:val="6"/>
            <w:shd w:val="clear" w:color="auto" w:fill="auto"/>
            <w:vAlign w:val="center"/>
          </w:tcPr>
          <w:p w14:paraId="046BEBF3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Itens</w:t>
            </w:r>
          </w:p>
        </w:tc>
      </w:tr>
      <w:tr w:rsidR="00212C1D" w:rsidRPr="00377126" w14:paraId="7C1EC55D" w14:textId="77777777" w:rsidTr="002867A8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Nº</w:t>
            </w:r>
          </w:p>
        </w:tc>
        <w:tc>
          <w:tcPr>
            <w:tcW w:w="5748" w:type="dxa"/>
            <w:shd w:val="clear" w:color="auto" w:fill="F2F2F2" w:themeFill="background1" w:themeFillShade="F2"/>
            <w:vAlign w:val="center"/>
          </w:tcPr>
          <w:p w14:paraId="6F172D15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Descrição do Item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7297DEE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Un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6AD4C4C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Preço Unit.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54C539" w14:textId="77777777" w:rsidR="00212C1D" w:rsidRPr="00377126" w:rsidRDefault="00212C1D" w:rsidP="00CF22BB">
            <w:pPr>
              <w:ind w:firstLine="0"/>
              <w:jc w:val="center"/>
              <w:rPr>
                <w:rFonts w:cs="Tahoma"/>
                <w:b/>
                <w:bCs/>
                <w:szCs w:val="18"/>
              </w:rPr>
            </w:pPr>
            <w:r w:rsidRPr="00377126">
              <w:rPr>
                <w:rFonts w:cs="Tahoma"/>
                <w:b/>
                <w:bCs/>
                <w:szCs w:val="18"/>
              </w:rPr>
              <w:t>Preço Total</w:t>
            </w:r>
          </w:p>
        </w:tc>
      </w:tr>
      <w:tr w:rsidR="00A4481B" w:rsidRPr="00377126" w14:paraId="2B3A43AB" w14:textId="77777777" w:rsidTr="002867A8">
        <w:trPr>
          <w:trHeight w:val="1800"/>
        </w:trPr>
        <w:tc>
          <w:tcPr>
            <w:tcW w:w="484" w:type="dxa"/>
            <w:shd w:val="clear" w:color="auto" w:fill="auto"/>
            <w:vAlign w:val="center"/>
          </w:tcPr>
          <w:p w14:paraId="7A154AC1" w14:textId="6D08CC02" w:rsidR="00A4481B" w:rsidRPr="00FD189A" w:rsidRDefault="00A4481B" w:rsidP="00A4481B">
            <w:pPr>
              <w:ind w:firstLine="0"/>
              <w:jc w:val="center"/>
              <w:rPr>
                <w:rFonts w:cs="Tahoma"/>
                <w:sz w:val="16"/>
                <w:szCs w:val="16"/>
                <w:highlight w:val="yellow"/>
              </w:rPr>
            </w:pPr>
            <w:r w:rsidRPr="002867A8">
              <w:rPr>
                <w:rFonts w:cs="Tahoma"/>
                <w:sz w:val="16"/>
                <w:szCs w:val="16"/>
              </w:rPr>
              <w:t>01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F862" w14:textId="27095D83" w:rsidR="00A4481B" w:rsidRPr="00572D33" w:rsidRDefault="006B16F4" w:rsidP="00A4481B">
            <w:pPr>
              <w:ind w:firstLine="0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Caminhão </w:t>
            </w:r>
            <w:r w:rsidR="00572D33"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tipo </w:t>
            </w:r>
            <w:proofErr w:type="spellStart"/>
            <w:r w:rsidR="00572D33"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>munck</w:t>
            </w:r>
            <w:proofErr w:type="spellEnd"/>
            <w:r w:rsidR="00572D33"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>:</w:t>
            </w:r>
          </w:p>
          <w:p w14:paraId="35168DC1" w14:textId="5042A038" w:rsidR="00572D33" w:rsidRPr="00572D33" w:rsidRDefault="00572D33" w:rsidP="00A4481B">
            <w:pPr>
              <w:ind w:firstLine="0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possuir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opcional de cesto aéreo;</w:t>
            </w:r>
          </w:p>
          <w:p w14:paraId="791AF716" w14:textId="6469A85F" w:rsidR="00A4481B" w:rsidRPr="00572D33" w:rsidRDefault="00A4481B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potência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mínima de 1</w:t>
            </w:r>
            <w:r w:rsidR="008A618E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5</w:t>
            </w:r>
            <w:r w:rsidR="00572D33"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0CV;</w:t>
            </w:r>
          </w:p>
          <w:p w14:paraId="487C1FFF" w14:textId="3390E169" w:rsidR="00A4481B" w:rsidRPr="00572D33" w:rsidRDefault="00A4481B" w:rsidP="00572D33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ano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de fabricação não inferior a 201</w:t>
            </w:r>
            <w:r w:rsidR="00572D33"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5</w:t>
            </w:r>
            <w:r w:rsid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;</w:t>
            </w:r>
          </w:p>
          <w:p w14:paraId="7DF00E7C" w14:textId="4D9789BF" w:rsidR="00A4481B" w:rsidRPr="00572D33" w:rsidRDefault="00A4481B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equipada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com </w:t>
            </w:r>
            <w:proofErr w:type="spell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horímetro</w:t>
            </w:r>
            <w:proofErr w:type="spell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;</w:t>
            </w:r>
          </w:p>
          <w:p w14:paraId="374BE75F" w14:textId="77777777" w:rsidR="00A4481B" w:rsidRPr="00572D33" w:rsidRDefault="00A4481B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máquina e equipamentos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em pleno estado de funcionamento;</w:t>
            </w:r>
          </w:p>
          <w:p w14:paraId="680127DF" w14:textId="77777777" w:rsidR="00A4481B" w:rsidRPr="00572D33" w:rsidRDefault="00A4481B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serviço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deve ser prestado com máquina e motorista;</w:t>
            </w:r>
          </w:p>
          <w:p w14:paraId="4C331E77" w14:textId="03461B45" w:rsidR="00572D33" w:rsidRPr="00572D33" w:rsidRDefault="00572D33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spellStart"/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munck</w:t>
            </w:r>
            <w:proofErr w:type="spellEnd"/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de no mínimo 16 toneladas</w:t>
            </w:r>
            <w:r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;</w:t>
            </w:r>
          </w:p>
          <w:p w14:paraId="508F85EC" w14:textId="2BDEE642" w:rsidR="00572D33" w:rsidRPr="00572D33" w:rsidRDefault="00572D33" w:rsidP="00A4481B">
            <w:pPr>
              <w:ind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no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mínimo 2 lanças hidráulicas e 2 manuais</w:t>
            </w:r>
            <w:r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;</w:t>
            </w:r>
          </w:p>
          <w:p w14:paraId="1DE1CADF" w14:textId="242994B4" w:rsidR="00572D33" w:rsidRPr="00572D33" w:rsidRDefault="00572D33" w:rsidP="00A4481B">
            <w:pPr>
              <w:ind w:firstLine="0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- </w:t>
            </w:r>
            <w:proofErr w:type="gramStart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no</w:t>
            </w:r>
            <w:proofErr w:type="gramEnd"/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mínimo alcance do braço deve ser na vertical </w:t>
            </w:r>
            <w:r w:rsidR="008A618E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14</w:t>
            </w: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metros e </w:t>
            </w:r>
            <w:r w:rsidR="008A618E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16</w:t>
            </w:r>
            <w:r w:rsidRPr="00572D3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 metros na horizontal</w:t>
            </w:r>
            <w:r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>;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30911E" w14:textId="1B69C353" w:rsidR="00A4481B" w:rsidRPr="00812B09" w:rsidRDefault="008A618E" w:rsidP="00A4481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12B09">
              <w:rPr>
                <w:rFonts w:cs="Tahoma"/>
                <w:sz w:val="16"/>
                <w:szCs w:val="16"/>
              </w:rPr>
              <w:t>425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3C305F" w14:textId="130468AB" w:rsidR="00A4481B" w:rsidRPr="00812B09" w:rsidRDefault="00A4481B" w:rsidP="00A4481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12B09">
              <w:rPr>
                <w:rFonts w:cs="Tahoma"/>
                <w:sz w:val="16"/>
                <w:szCs w:val="16"/>
              </w:rPr>
              <w:t>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188BC0" w14:textId="056C5693" w:rsidR="00A4481B" w:rsidRPr="00812B09" w:rsidRDefault="00A4481B" w:rsidP="00A4481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12B09">
              <w:rPr>
                <w:rFonts w:cs="Tahoma"/>
                <w:sz w:val="16"/>
                <w:szCs w:val="16"/>
              </w:rPr>
              <w:t xml:space="preserve">R$ </w:t>
            </w:r>
            <w:r w:rsidR="0033115A" w:rsidRPr="00812B09">
              <w:rPr>
                <w:rFonts w:cs="Tahoma"/>
                <w:sz w:val="16"/>
                <w:szCs w:val="16"/>
              </w:rPr>
              <w:t>140,00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B5F30E" w14:textId="75B0399C" w:rsidR="00A4481B" w:rsidRPr="00812B09" w:rsidRDefault="00A4481B" w:rsidP="00A4481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12B09">
              <w:rPr>
                <w:rFonts w:cs="Tahoma"/>
                <w:sz w:val="16"/>
                <w:szCs w:val="16"/>
              </w:rPr>
              <w:t xml:space="preserve">R$ </w:t>
            </w:r>
            <w:r w:rsidR="0033115A" w:rsidRPr="00812B09">
              <w:rPr>
                <w:rFonts w:cs="Tahoma"/>
                <w:sz w:val="16"/>
                <w:szCs w:val="16"/>
              </w:rPr>
              <w:t>59.500,00</w:t>
            </w:r>
          </w:p>
        </w:tc>
      </w:tr>
      <w:tr w:rsidR="00212C1D" w:rsidRPr="00377126" w14:paraId="509BB39C" w14:textId="77777777" w:rsidTr="002867A8">
        <w:trPr>
          <w:trHeight w:val="369"/>
        </w:trPr>
        <w:tc>
          <w:tcPr>
            <w:tcW w:w="878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31D1" w14:textId="77777777" w:rsidR="00212C1D" w:rsidRPr="00812B09" w:rsidRDefault="00212C1D" w:rsidP="00A4481B">
            <w:pPr>
              <w:ind w:firstLine="0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 w:rsidRPr="00812B09">
              <w:rPr>
                <w:rFonts w:cs="Tahoma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EF28C" w14:textId="4B776E3D" w:rsidR="00212C1D" w:rsidRPr="00812B09" w:rsidRDefault="00996BB7" w:rsidP="00996BB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12B09">
              <w:rPr>
                <w:rFonts w:cs="Tahoma"/>
                <w:b/>
                <w:bCs/>
                <w:sz w:val="16"/>
                <w:szCs w:val="16"/>
              </w:rPr>
              <w:t xml:space="preserve">R$ </w:t>
            </w:r>
            <w:r w:rsidR="0033115A" w:rsidRPr="00812B09">
              <w:rPr>
                <w:rFonts w:cs="Tahoma"/>
                <w:b/>
                <w:bCs/>
                <w:sz w:val="16"/>
                <w:szCs w:val="16"/>
              </w:rPr>
              <w:t>59.500,00</w:t>
            </w:r>
          </w:p>
        </w:tc>
      </w:tr>
    </w:tbl>
    <w:p w14:paraId="0CAA82E3" w14:textId="3F9E6F17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2"/>
        <w:gridCol w:w="255"/>
        <w:gridCol w:w="284"/>
        <w:gridCol w:w="312"/>
        <w:gridCol w:w="7087"/>
      </w:tblGrid>
      <w:tr w:rsidR="00212C1D" w:rsidRPr="00E92143" w14:paraId="6FCDEFE4" w14:textId="77777777" w:rsidTr="00CD7997">
        <w:tc>
          <w:tcPr>
            <w:tcW w:w="10343" w:type="dxa"/>
            <w:gridSpan w:val="7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D7997">
        <w:tc>
          <w:tcPr>
            <w:tcW w:w="1526" w:type="dxa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817" w:type="dxa"/>
            <w:gridSpan w:val="6"/>
            <w:shd w:val="clear" w:color="auto" w:fill="auto"/>
            <w:vAlign w:val="center"/>
          </w:tcPr>
          <w:p w14:paraId="1C07497D" w14:textId="57273D92" w:rsidR="00212C1D" w:rsidRPr="00E92143" w:rsidRDefault="002867A8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212C1D" w:rsidRPr="00996BB7">
              <w:rPr>
                <w:b/>
                <w:bCs/>
                <w:sz w:val="16"/>
                <w:szCs w:val="16"/>
              </w:rPr>
              <w:t xml:space="preserve"> dia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212C1D" w:rsidRPr="00996BB7">
              <w:rPr>
                <w:sz w:val="16"/>
                <w:szCs w:val="16"/>
              </w:rPr>
              <w:t>a contar</w:t>
            </w:r>
            <w:r w:rsidR="00212C1D">
              <w:rPr>
                <w:sz w:val="16"/>
                <w:szCs w:val="16"/>
              </w:rPr>
              <w:t xml:space="preserve">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D7997">
        <w:trPr>
          <w:trHeight w:val="356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7D59914B" w14:textId="6759D658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50" w:type="dxa"/>
            <w:gridSpan w:val="5"/>
            <w:shd w:val="clear" w:color="auto" w:fill="auto"/>
            <w:vAlign w:val="center"/>
          </w:tcPr>
          <w:p w14:paraId="7027DA09" w14:textId="49125B42" w:rsidR="00212C1D" w:rsidRPr="00E92143" w:rsidRDefault="00712AB8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for solicitado, serviço deve ser prestado dentro do período das 7</w:t>
            </w:r>
            <w:r w:rsidR="00212C1D" w:rsidRPr="00E92143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30</w:t>
            </w:r>
            <w:r w:rsidR="00212C1D" w:rsidRPr="00E92143">
              <w:rPr>
                <w:sz w:val="16"/>
                <w:szCs w:val="16"/>
              </w:rPr>
              <w:t xml:space="preserve"> </w:t>
            </w:r>
            <w:r w:rsidR="00CD7997">
              <w:rPr>
                <w:sz w:val="16"/>
                <w:szCs w:val="16"/>
              </w:rPr>
              <w:t>às</w:t>
            </w:r>
            <w:r>
              <w:rPr>
                <w:sz w:val="16"/>
                <w:szCs w:val="16"/>
              </w:rPr>
              <w:t xml:space="preserve"> 18h</w:t>
            </w:r>
            <w:r w:rsidR="00FD189A">
              <w:rPr>
                <w:sz w:val="16"/>
                <w:szCs w:val="16"/>
              </w:rPr>
              <w:t>.</w:t>
            </w:r>
          </w:p>
        </w:tc>
      </w:tr>
      <w:tr w:rsidR="00DD3AD1" w:rsidRPr="00E92143" w14:paraId="4427B93F" w14:textId="77777777" w:rsidTr="00CD7997">
        <w:trPr>
          <w:trHeight w:val="587"/>
        </w:trPr>
        <w:tc>
          <w:tcPr>
            <w:tcW w:w="2405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4F9978D3" w:rsidR="00DD3AD1" w:rsidRPr="00E92143" w:rsidRDefault="00DD3AD1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 de prestação do serviço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DD3AD1" w:rsidRDefault="00DD3AD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08FF9C8D" w:rsidR="00DD3AD1" w:rsidRDefault="00DD3AD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DD3AD1" w:rsidRDefault="00DD3AD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708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8FE558" w14:textId="19D8FAF5" w:rsidR="00DD3AD1" w:rsidRPr="00E92143" w:rsidRDefault="00DD3AD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Locais conforme demanda da SMOMU</w:t>
            </w:r>
            <w:r w:rsidR="00CD7997">
              <w:rPr>
                <w:sz w:val="16"/>
                <w:szCs w:val="16"/>
              </w:rPr>
              <w:t xml:space="preserve"> – Secretaria Municipal de Obras e Mobilidade Urbana</w:t>
            </w:r>
          </w:p>
          <w:p w14:paraId="7337F10F" w14:textId="62E1E008" w:rsidR="00DD3AD1" w:rsidRPr="00E92143" w:rsidRDefault="00DD3AD1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ser definidos conforme solicitação da SMOMU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385C86B2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D7997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50A821D8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D799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1B1E19F" w14:textId="77777777" w:rsidR="00FD189A" w:rsidRDefault="001F21F3" w:rsidP="00FD189A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FD189A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38FA574A" w14:textId="00002C58" w:rsidR="00212C1D" w:rsidRDefault="00212C1D" w:rsidP="00FD189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</w:t>
            </w:r>
            <w:r w:rsidRPr="00C4530D">
              <w:rPr>
                <w:sz w:val="16"/>
                <w:szCs w:val="16"/>
              </w:rPr>
              <w:t xml:space="preserve">prazo de até </w:t>
            </w:r>
            <w:r w:rsidRPr="00C4530D">
              <w:rPr>
                <w:b/>
                <w:bCs/>
                <w:sz w:val="16"/>
                <w:szCs w:val="16"/>
              </w:rPr>
              <w:t>XX dias</w:t>
            </w:r>
            <w:r w:rsidRPr="00C4530D">
              <w:rPr>
                <w:sz w:val="16"/>
                <w:szCs w:val="16"/>
              </w:rPr>
              <w:t>, a</w:t>
            </w:r>
            <w:r w:rsidRPr="006B6F41">
              <w:rPr>
                <w:sz w:val="16"/>
                <w:szCs w:val="16"/>
              </w:rPr>
              <w:t xml:space="preserve">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187E0AEB" w:rsidR="00212C1D" w:rsidRPr="00FD189A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FD189A">
              <w:rPr>
                <w:b/>
                <w:bCs/>
                <w:sz w:val="16"/>
                <w:szCs w:val="16"/>
              </w:rPr>
              <w:t xml:space="preserve">( </w:t>
            </w:r>
            <w:r w:rsidR="00660BA7" w:rsidRPr="00FD189A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FD189A">
              <w:rPr>
                <w:b/>
                <w:bCs/>
                <w:sz w:val="16"/>
                <w:szCs w:val="16"/>
              </w:rPr>
              <w:t xml:space="preserve"> ) Até 2 anos, por se tratar de SRP, comprovado o preço vantajoso, 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5FC9337" w:rsidR="00212C1D" w:rsidRDefault="00712AB8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0ADBB11" w:rsidR="00212C1D" w:rsidRPr="00712AB8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712AB8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07FCD146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812B09">
              <w:rPr>
                <w:sz w:val="16"/>
                <w:szCs w:val="16"/>
              </w:rPr>
              <w:t>e</w:t>
            </w:r>
            <w:r w:rsidRPr="00812B09">
              <w:rPr>
                <w:sz w:val="16"/>
                <w:szCs w:val="16"/>
              </w:rPr>
              <w:t xml:space="preserve">stimado: R$ </w:t>
            </w:r>
            <w:r w:rsidR="0033115A" w:rsidRPr="00812B09">
              <w:rPr>
                <w:sz w:val="16"/>
                <w:szCs w:val="16"/>
              </w:rPr>
              <w:t>59.500,00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10A29D59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60BA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A173FB2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867A8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38F33BDF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867A8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269FA262" w:rsidR="00016749" w:rsidRPr="00E92143" w:rsidRDefault="00CB1C9E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Art</w:t>
            </w:r>
            <w:proofErr w:type="spellEnd"/>
            <w:r>
              <w:rPr>
                <w:sz w:val="16"/>
                <w:szCs w:val="16"/>
              </w:rPr>
              <w:t xml:space="preserve"> 75, II, 14.133/21</w:t>
            </w:r>
          </w:p>
        </w:tc>
      </w:tr>
      <w:tr w:rsidR="00016749" w:rsidRPr="00E92143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9DC007F" w14:textId="3347A756" w:rsidR="00CB1C9E" w:rsidRPr="00CB1C9E" w:rsidRDefault="00CB1C9E" w:rsidP="00CB1C9E">
            <w:pPr>
              <w:ind w:firstLine="0"/>
              <w:rPr>
                <w:sz w:val="16"/>
                <w:szCs w:val="20"/>
              </w:rPr>
            </w:pPr>
            <w:r w:rsidRPr="00CB1C9E">
              <w:rPr>
                <w:sz w:val="16"/>
                <w:szCs w:val="20"/>
              </w:rPr>
              <w:t xml:space="preserve">A contratação visa atender à demanda da Secretaria de Obras, por serviços especializados de caminhão </w:t>
            </w:r>
            <w:proofErr w:type="spellStart"/>
            <w:r w:rsidRPr="00CB1C9E">
              <w:rPr>
                <w:sz w:val="16"/>
                <w:szCs w:val="20"/>
              </w:rPr>
              <w:t>munck</w:t>
            </w:r>
            <w:proofErr w:type="spellEnd"/>
            <w:r w:rsidRPr="00CB1C9E">
              <w:rPr>
                <w:sz w:val="16"/>
                <w:szCs w:val="20"/>
              </w:rPr>
              <w:t xml:space="preserve"> com cesto aéreo, os quais são essenciais para a realização de diversas atividades de manutenção e transporte, tais como, içamento de objetos como tubos, galerias, feno, e demais objetos necessitados pelas Secretaria, além da troca e substituição de lâmpadas. A necessidade de realizar os serviços de forma contínua e ágil, a fim de garantir a manutenção da infraestrutura urbana e a execução de obras emergenciais, demanda uma solução rápida e eficaz. </w:t>
            </w:r>
          </w:p>
          <w:p w14:paraId="6505D963" w14:textId="302170EB" w:rsidR="00660BA7" w:rsidRPr="00CB1C9E" w:rsidRDefault="00CB1C9E" w:rsidP="00CB1C9E">
            <w:pPr>
              <w:ind w:firstLine="0"/>
              <w:rPr>
                <w:sz w:val="16"/>
                <w:szCs w:val="16"/>
              </w:rPr>
            </w:pPr>
            <w:r w:rsidRPr="00CB1C9E">
              <w:rPr>
                <w:sz w:val="16"/>
                <w:szCs w:val="20"/>
              </w:rPr>
              <w:t xml:space="preserve">O caminhão </w:t>
            </w:r>
            <w:proofErr w:type="spellStart"/>
            <w:r w:rsidRPr="00CB1C9E">
              <w:rPr>
                <w:sz w:val="16"/>
                <w:szCs w:val="20"/>
              </w:rPr>
              <w:t>munck</w:t>
            </w:r>
            <w:proofErr w:type="spellEnd"/>
            <w:r w:rsidRPr="00CB1C9E">
              <w:rPr>
                <w:sz w:val="16"/>
                <w:szCs w:val="20"/>
              </w:rPr>
              <w:t xml:space="preserve"> com cesto aéreo é um equipamento altamente especializado, com características técnicas específicas para cada tipo de serviço. A demanda por serviços de caminhão </w:t>
            </w:r>
            <w:proofErr w:type="spellStart"/>
            <w:r w:rsidRPr="00CB1C9E">
              <w:rPr>
                <w:sz w:val="16"/>
                <w:szCs w:val="20"/>
              </w:rPr>
              <w:t>munck</w:t>
            </w:r>
            <w:proofErr w:type="spellEnd"/>
            <w:r w:rsidRPr="00CB1C9E">
              <w:rPr>
                <w:sz w:val="16"/>
                <w:szCs w:val="20"/>
              </w:rPr>
              <w:t xml:space="preserve"> com cesto aéreo é variada e imprevisível, envolvendo desde a troca de lâmpadas até o içamento de estruturas pesadas. A contratação por horas, através do registro de preços, permite maior flexibilidade para atender às diversas necessidades da Secretaria de Obras, evitando a necessidade de realizar diversas licitações para cada tipo de serviço. </w:t>
            </w:r>
            <w:r w:rsidR="00712AB8" w:rsidRPr="00CB1C9E">
              <w:rPr>
                <w:sz w:val="16"/>
                <w:szCs w:val="20"/>
              </w:rPr>
              <w:t xml:space="preserve">Tendo em vista que o Município não disponibiliza de todo aparato de máquinas em sua frota, é necessário optar pela terceirização dos serviços, em parceria com a Secretaria de Obras. 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D7997">
        <w:trPr>
          <w:trHeight w:val="700"/>
        </w:trPr>
        <w:tc>
          <w:tcPr>
            <w:tcW w:w="10314" w:type="dxa"/>
            <w:shd w:val="clear" w:color="auto" w:fill="auto"/>
            <w:vAlign w:val="center"/>
          </w:tcPr>
          <w:p w14:paraId="2BCFBD65" w14:textId="0D4E9911" w:rsidR="00016749" w:rsidRPr="00712AB8" w:rsidRDefault="00712AB8" w:rsidP="00CF22BB">
            <w:pPr>
              <w:ind w:firstLine="0"/>
              <w:jc w:val="left"/>
              <w:rPr>
                <w:szCs w:val="18"/>
              </w:rPr>
            </w:pPr>
            <w:r w:rsidRPr="00CD7997">
              <w:rPr>
                <w:sz w:val="16"/>
                <w:szCs w:val="16"/>
              </w:rPr>
              <w:t xml:space="preserve">Considerando que as prestações de serviços de máquinas solicitadas não se tratam de bens/veículos da frota do Município, os mesmos devem se encontrar em condições ideias para a prestação do serviço durante a vigência da ata de registro de preços com a Administração, não gerando obrigação entre as partes, em relação a máquina e a o serviço. 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1D1E66">
        <w:trPr>
          <w:trHeight w:val="765"/>
        </w:trPr>
        <w:tc>
          <w:tcPr>
            <w:tcW w:w="10314" w:type="dxa"/>
            <w:shd w:val="clear" w:color="auto" w:fill="auto"/>
            <w:vAlign w:val="center"/>
          </w:tcPr>
          <w:p w14:paraId="17E83301" w14:textId="1C36E2E2" w:rsidR="00CD7997" w:rsidRPr="0033115A" w:rsidRDefault="00CD7997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Fica a cargo da Secretaria de Obras, auxiliar, orientar e fiscalizar a prestação do serviço, por meio de relatórios de execução. </w:t>
            </w:r>
          </w:p>
          <w:p w14:paraId="333C681F" w14:textId="48FB3C81" w:rsidR="00CD7997" w:rsidRPr="0033115A" w:rsidRDefault="00CD7997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Os serviços deverão ser prestados nos locais definidos pela SMOMU, indicados nas ordens de serviço, ordens de compra ou instrumento equivalente. </w:t>
            </w:r>
          </w:p>
          <w:p w14:paraId="46BC79C6" w14:textId="1CDFFB22" w:rsidR="00CD7997" w:rsidRPr="0033115A" w:rsidRDefault="00CD7997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Todas máquinas e seus operado</w:t>
            </w:r>
            <w:r w:rsidR="00CC020C" w:rsidRPr="0033115A">
              <w:rPr>
                <w:sz w:val="16"/>
                <w:szCs w:val="16"/>
              </w:rPr>
              <w:t>res</w:t>
            </w:r>
            <w:r w:rsidRPr="0033115A">
              <w:rPr>
                <w:sz w:val="16"/>
                <w:szCs w:val="16"/>
              </w:rPr>
              <w:t xml:space="preserve"> devem estar dentro das normas e exigências para que o serviço seja prestado da melhor maneira possível</w:t>
            </w:r>
            <w:r w:rsidR="00CC020C" w:rsidRPr="0033115A">
              <w:rPr>
                <w:sz w:val="16"/>
                <w:szCs w:val="16"/>
              </w:rPr>
              <w:t xml:space="preserve">, de acordo com o que é exigido pela Lei. </w:t>
            </w:r>
          </w:p>
          <w:p w14:paraId="333B8FF0" w14:textId="67BA2CE6" w:rsidR="00CD7997" w:rsidRPr="0033115A" w:rsidRDefault="00CD7997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Fica a cargo da contratada, a responsabilidade durante a execução do serviço. </w:t>
            </w:r>
          </w:p>
          <w:p w14:paraId="0BA0F468" w14:textId="77777777" w:rsidR="00712AB8" w:rsidRPr="0033115A" w:rsidRDefault="00CD7997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Fica por parte da Secretaria de Obras, dar amparo e orientação a contratada, no que diz respeito às ordens de serviço, locais e prazos da prestação de serviço, para que o mesmo seja prestado da melhor forma. </w:t>
            </w:r>
          </w:p>
          <w:p w14:paraId="3DAFBE80" w14:textId="7D41E24A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 existência de preços registrados não obriga a Administração a firmar as contratações que deles poderão advir, ficando-lhe facultada a utilização de outros meios, respeitada a legislação relativa às licitações.</w:t>
            </w:r>
          </w:p>
          <w:p w14:paraId="1A2C1409" w14:textId="435A0642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Os serviços poderão compreender </w:t>
            </w:r>
            <w:r w:rsidR="008A618E" w:rsidRPr="0033115A">
              <w:rPr>
                <w:sz w:val="16"/>
                <w:szCs w:val="16"/>
              </w:rPr>
              <w:t>transporte de feno, içamento de objetos como tubos, galerias, troca de lâmpadas</w:t>
            </w:r>
            <w:r w:rsidRPr="0033115A">
              <w:rPr>
                <w:sz w:val="16"/>
                <w:szCs w:val="16"/>
              </w:rPr>
              <w:t>.</w:t>
            </w:r>
          </w:p>
          <w:p w14:paraId="28096773" w14:textId="10601FCD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Os serviços deverão ser realizados conforme demanda e necessidade da Secretaria de Obras e Mobilidade Urbana, com qualquer duração de tempo, inclusive em dias e horários alternados. </w:t>
            </w:r>
          </w:p>
          <w:p w14:paraId="0BD279E0" w14:textId="4A0899E3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 execução será dentro do perímetro do Município de Imigrante.</w:t>
            </w:r>
          </w:p>
          <w:p w14:paraId="249A4AB6" w14:textId="202B4870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 empresa vencedora deverá disponibilizar profissional habilitado e com experiência para a realização do serviço constante no objeto deste edital.</w:t>
            </w:r>
          </w:p>
          <w:p w14:paraId="4E30F4C5" w14:textId="4DCCFA68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Os serviços deverão ser executados conforme Ordem de Compra e/ou Ordem de Serviço emitido pela Secretaria solicitante;</w:t>
            </w:r>
          </w:p>
          <w:p w14:paraId="472AFC70" w14:textId="38617FC9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A empresa é responsável pelo fornecimento da leitura do </w:t>
            </w:r>
            <w:proofErr w:type="spellStart"/>
            <w:r w:rsidRPr="0033115A">
              <w:rPr>
                <w:sz w:val="16"/>
                <w:szCs w:val="16"/>
              </w:rPr>
              <w:t>horímetro</w:t>
            </w:r>
            <w:proofErr w:type="spellEnd"/>
            <w:r w:rsidRPr="0033115A">
              <w:rPr>
                <w:sz w:val="16"/>
                <w:szCs w:val="16"/>
              </w:rPr>
              <w:t xml:space="preserve"> no início e término do serviço;</w:t>
            </w:r>
          </w:p>
          <w:p w14:paraId="57232A7B" w14:textId="528CC8F6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Cabe a empresa vencedora arcar com todas as despesas pertinentes a frete, carga e descarga, encargos fiscais, trabalhistas e previdenciários, bem como despesas referente ao deslocamento da equipe/operador e dos equipamentos necessários para execução do objeto;</w:t>
            </w:r>
          </w:p>
          <w:p w14:paraId="7B2189B2" w14:textId="139E848B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As máquinas deverão estar em perfeitas condições de funcionamento, com todos os componentes, dispositivos e acessórios capazes de desempenhar integralmente as funções específicas projetadas pelos fabricantes;</w:t>
            </w:r>
          </w:p>
          <w:p w14:paraId="50AC69C6" w14:textId="2314E82A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 empresa deverá comprovar, mediante apresentação de documento de propriedade ou contrato de prestação de serviço, que possui a máquina com as especificações mínimas exigidas no objeto;</w:t>
            </w:r>
          </w:p>
          <w:p w14:paraId="0162B15E" w14:textId="36089E58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A empresa contratada deverá fornecer a seus empregados todo o equipamento de proteção individual (EPI) de trabalho, observando a legislação;</w:t>
            </w:r>
          </w:p>
          <w:p w14:paraId="423B0DDC" w14:textId="1F26BFB1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 xml:space="preserve">- Os serviços deverão ser iniciados no prazo máximo de </w:t>
            </w:r>
            <w:r w:rsidR="008A618E" w:rsidRPr="0033115A">
              <w:rPr>
                <w:sz w:val="16"/>
                <w:szCs w:val="16"/>
              </w:rPr>
              <w:t>1</w:t>
            </w:r>
            <w:r w:rsidRPr="0033115A">
              <w:rPr>
                <w:sz w:val="16"/>
                <w:szCs w:val="16"/>
              </w:rPr>
              <w:t xml:space="preserve"> dia, após a emissão da ordem de serviço/formulário;</w:t>
            </w:r>
          </w:p>
          <w:p w14:paraId="5878490D" w14:textId="47EDF6CF" w:rsidR="00CC020C" w:rsidRPr="0033115A" w:rsidRDefault="00CC020C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lastRenderedPageBreak/>
              <w:t xml:space="preserve">- A empresa vencedora do certame, deverá possuir um caminhão </w:t>
            </w:r>
            <w:proofErr w:type="spellStart"/>
            <w:r w:rsidR="008A618E" w:rsidRPr="0033115A">
              <w:rPr>
                <w:sz w:val="16"/>
                <w:szCs w:val="16"/>
              </w:rPr>
              <w:t>munck</w:t>
            </w:r>
            <w:proofErr w:type="spellEnd"/>
            <w:r w:rsidR="008A618E" w:rsidRPr="0033115A">
              <w:rPr>
                <w:sz w:val="16"/>
                <w:szCs w:val="16"/>
              </w:rPr>
              <w:t xml:space="preserve"> conforme os requisitos,</w:t>
            </w:r>
            <w:r w:rsidRPr="0033115A">
              <w:rPr>
                <w:sz w:val="16"/>
                <w:szCs w:val="16"/>
              </w:rPr>
              <w:t xml:space="preserve"> para o transporte/deslocamento da(s) máquina(s) no local da execução dos serviços.</w:t>
            </w:r>
          </w:p>
          <w:p w14:paraId="06B7B4D7" w14:textId="2C41DA04" w:rsidR="00A4481B" w:rsidRPr="0033115A" w:rsidRDefault="00A4481B" w:rsidP="00CC020C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33115A">
              <w:rPr>
                <w:sz w:val="16"/>
                <w:szCs w:val="16"/>
              </w:rPr>
              <w:t>- Os Operadores e/ou motorista deverá(</w:t>
            </w:r>
            <w:proofErr w:type="spellStart"/>
            <w:r w:rsidRPr="0033115A">
              <w:rPr>
                <w:sz w:val="16"/>
                <w:szCs w:val="16"/>
              </w:rPr>
              <w:t>ão</w:t>
            </w:r>
            <w:proofErr w:type="spellEnd"/>
            <w:r w:rsidRPr="0033115A">
              <w:rPr>
                <w:sz w:val="16"/>
                <w:szCs w:val="16"/>
              </w:rPr>
              <w:t xml:space="preserve">) possuir(em) habilitação compatível com o exercício da função. 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5753E1F9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D16633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DD3AD1" w:rsidRPr="00E92143" w14:paraId="0B564CB8" w14:textId="77777777" w:rsidTr="00DD3AD1">
        <w:trPr>
          <w:trHeight w:val="145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2547422C" w:rsidR="00DD3AD1" w:rsidRPr="00E92143" w:rsidRDefault="00DD3AD1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742F51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D3AD1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DD3AD1" w:rsidRPr="00E92143" w14:paraId="5B3C77E9" w14:textId="77777777" w:rsidTr="00DD3AD1">
        <w:trPr>
          <w:trHeight w:val="211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28750B7" w:rsidR="00DD3AD1" w:rsidRPr="00E92143" w:rsidRDefault="00DD3AD1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1D1E6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 (Especificar abaixo): Prestação de serviço.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4C2FB8A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1663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A4481B">
        <w:trPr>
          <w:trHeight w:val="205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24783ED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DD3AD1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4C0031C6" w:rsidR="00EC1F26" w:rsidRPr="00DD3AD1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DD3AD1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9C25A83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D16633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301751D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D1663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DD3AD1" w:rsidRPr="00E92143" w14:paraId="7FA13622" w14:textId="77777777" w:rsidTr="00DD3AD1">
        <w:trPr>
          <w:trHeight w:val="165"/>
        </w:trPr>
        <w:tc>
          <w:tcPr>
            <w:tcW w:w="10314" w:type="dxa"/>
            <w:shd w:val="clear" w:color="auto" w:fill="auto"/>
            <w:vAlign w:val="center"/>
          </w:tcPr>
          <w:p w14:paraId="76BE5A75" w14:textId="2CC660AD" w:rsidR="00DD3AD1" w:rsidRPr="00E92143" w:rsidRDefault="00DD3AD1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09ABA7D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1663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619E74D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D6975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F4E18CB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  <w:p w14:paraId="3E916CE4" w14:textId="77777777" w:rsidR="00CD7997" w:rsidRPr="00E92143" w:rsidRDefault="00CD7997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2FCC5670" w14:textId="49AD6BE3" w:rsidR="00DD3AD1" w:rsidRPr="00812B09" w:rsidRDefault="00DD3AD1" w:rsidP="00CF22BB">
            <w:pPr>
              <w:ind w:firstLine="0"/>
              <w:rPr>
                <w:szCs w:val="18"/>
              </w:rPr>
            </w:pPr>
            <w:r w:rsidRPr="00812B09">
              <w:rPr>
                <w:szCs w:val="18"/>
              </w:rPr>
              <w:t>- Declaração/comprovação de que dispõe do maquinário solicitado, assim como de pessoal especializado para prestar o serviço, conforme o objeto deste termo de referência e posterior edital</w:t>
            </w:r>
            <w:r w:rsidR="00CC020C" w:rsidRPr="00812B09">
              <w:rPr>
                <w:szCs w:val="18"/>
              </w:rPr>
              <w:t>;</w:t>
            </w:r>
          </w:p>
          <w:p w14:paraId="3C78ED00" w14:textId="23081E40" w:rsidR="00CC020C" w:rsidRPr="00812B09" w:rsidRDefault="00CC020C" w:rsidP="00CC020C">
            <w:pPr>
              <w:ind w:firstLine="0"/>
              <w:rPr>
                <w:szCs w:val="18"/>
              </w:rPr>
            </w:pPr>
          </w:p>
          <w:p w14:paraId="0628FA1C" w14:textId="6151930A" w:rsidR="00CC020C" w:rsidRPr="001D1E66" w:rsidRDefault="00CC020C" w:rsidP="00CC020C">
            <w:pPr>
              <w:ind w:firstLine="0"/>
              <w:rPr>
                <w:szCs w:val="18"/>
              </w:rPr>
            </w:pPr>
            <w:r w:rsidRPr="00812B09">
              <w:rPr>
                <w:szCs w:val="18"/>
              </w:rPr>
              <w:t xml:space="preserve">- Para comprovação de que a empresa dispõe da(s) máquina(s) com as especificações mínimas exigidas no objeto, é necessário a apresentação de documento de propriedade </w:t>
            </w:r>
            <w:r w:rsidRPr="00812B09">
              <w:rPr>
                <w:szCs w:val="18"/>
                <w:u w:val="single"/>
              </w:rPr>
              <w:t>ou</w:t>
            </w:r>
            <w:r w:rsidRPr="00812B09">
              <w:rPr>
                <w:szCs w:val="18"/>
              </w:rPr>
              <w:t xml:space="preserve"> contrato de prestação de serviço;</w:t>
            </w:r>
          </w:p>
          <w:p w14:paraId="1872EE38" w14:textId="097D38D2" w:rsidR="00CC020C" w:rsidRPr="00CD7997" w:rsidRDefault="00CC020C" w:rsidP="00CC020C">
            <w:pPr>
              <w:ind w:firstLine="0"/>
              <w:rPr>
                <w:b/>
                <w:bCs/>
                <w:szCs w:val="18"/>
              </w:rPr>
            </w:pPr>
            <w:r w:rsidRPr="00CC020C">
              <w:rPr>
                <w:b/>
                <w:bCs/>
                <w:szCs w:val="18"/>
              </w:rPr>
              <w:t xml:space="preserve"> </w:t>
            </w:r>
            <w:r w:rsidRPr="00CC020C">
              <w:rPr>
                <w:b/>
                <w:bCs/>
                <w:szCs w:val="18"/>
              </w:rPr>
              <w:tab/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lastRenderedPageBreak/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1C00B8DF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D697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DD3AD1" w:rsidRPr="00E92143" w14:paraId="156C8A43" w14:textId="77777777" w:rsidTr="00CD7997">
        <w:trPr>
          <w:trHeight w:val="28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1810851B" w:rsidR="00DD3AD1" w:rsidRPr="00E92143" w:rsidRDefault="00DD3AD1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195354F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1663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62C104D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D697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2F4063BF" w:rsidR="00B70A10" w:rsidRDefault="002D0383" w:rsidP="00B70A10">
      <w:pPr>
        <w:jc w:val="right"/>
      </w:pPr>
      <w:r w:rsidRPr="00A4481B">
        <w:t xml:space="preserve">Imigrante, </w:t>
      </w:r>
      <w:r w:rsidR="00CB1C9E">
        <w:t>06</w:t>
      </w:r>
      <w:r w:rsidR="00D16633" w:rsidRPr="00A4481B">
        <w:t xml:space="preserve"> de </w:t>
      </w:r>
      <w:r w:rsidR="001D1E66">
        <w:t>setembro</w:t>
      </w:r>
      <w:r w:rsidRPr="00A4481B">
        <w:t xml:space="preserve"> de 202</w:t>
      </w:r>
      <w:r w:rsidR="00D16633" w:rsidRPr="00A4481B">
        <w:t>4</w:t>
      </w:r>
      <w:r w:rsidRPr="00A4481B">
        <w:t>.</w:t>
      </w:r>
    </w:p>
    <w:p w14:paraId="56EE2A72" w14:textId="77777777" w:rsidR="00DD3AD1" w:rsidRDefault="00DD3AD1" w:rsidP="00B70A10">
      <w:pPr>
        <w:jc w:val="right"/>
      </w:pPr>
    </w:p>
    <w:p w14:paraId="0A07D0B8" w14:textId="77777777" w:rsidR="00CC020C" w:rsidRDefault="00CC020C" w:rsidP="00B70A10">
      <w:pPr>
        <w:jc w:val="right"/>
      </w:pPr>
    </w:p>
    <w:p w14:paraId="4AF5B540" w14:textId="77777777" w:rsidR="00CC020C" w:rsidRDefault="00CC020C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64C55582" w:rsidR="00F21487" w:rsidRPr="00FD56DE" w:rsidRDefault="001D1E66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130533FB" w14:textId="7D487A7E" w:rsidR="00F21487" w:rsidRDefault="001D1E66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Secretário</w:t>
            </w:r>
            <w:r w:rsidR="00F21487">
              <w:t xml:space="preserve"> Municipal</w:t>
            </w:r>
            <w:r w:rsidR="00D16633">
              <w:t xml:space="preserve"> de Obras e Mobilidade Urbana</w:t>
            </w:r>
          </w:p>
          <w:p w14:paraId="3F671AF6" w14:textId="24526257" w:rsidR="00CC020C" w:rsidRDefault="00CC020C" w:rsidP="00CF22BB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73553463">
    <w:abstractNumId w:val="8"/>
  </w:num>
  <w:num w:numId="2" w16cid:durableId="1496602808">
    <w:abstractNumId w:val="10"/>
  </w:num>
  <w:num w:numId="3" w16cid:durableId="729350420">
    <w:abstractNumId w:val="9"/>
  </w:num>
  <w:num w:numId="4" w16cid:durableId="262613268">
    <w:abstractNumId w:val="3"/>
  </w:num>
  <w:num w:numId="5" w16cid:durableId="1382291659">
    <w:abstractNumId w:val="1"/>
  </w:num>
  <w:num w:numId="6" w16cid:durableId="918054300">
    <w:abstractNumId w:val="14"/>
  </w:num>
  <w:num w:numId="7" w16cid:durableId="64034170">
    <w:abstractNumId w:val="18"/>
  </w:num>
  <w:num w:numId="8" w16cid:durableId="1787582196">
    <w:abstractNumId w:val="15"/>
  </w:num>
  <w:num w:numId="9" w16cid:durableId="209999943">
    <w:abstractNumId w:val="19"/>
  </w:num>
  <w:num w:numId="10" w16cid:durableId="1290088563">
    <w:abstractNumId w:val="12"/>
  </w:num>
  <w:num w:numId="11" w16cid:durableId="1881240718">
    <w:abstractNumId w:val="17"/>
  </w:num>
  <w:num w:numId="12" w16cid:durableId="498932643">
    <w:abstractNumId w:val="6"/>
  </w:num>
  <w:num w:numId="13" w16cid:durableId="1455638193">
    <w:abstractNumId w:val="4"/>
  </w:num>
  <w:num w:numId="14" w16cid:durableId="627322991">
    <w:abstractNumId w:val="16"/>
  </w:num>
  <w:num w:numId="15" w16cid:durableId="741483542">
    <w:abstractNumId w:val="13"/>
  </w:num>
  <w:num w:numId="16" w16cid:durableId="1506440576">
    <w:abstractNumId w:val="5"/>
  </w:num>
  <w:num w:numId="17" w16cid:durableId="277641246">
    <w:abstractNumId w:val="7"/>
  </w:num>
  <w:num w:numId="18" w16cid:durableId="1830779962">
    <w:abstractNumId w:val="11"/>
  </w:num>
  <w:num w:numId="19" w16cid:durableId="269358394">
    <w:abstractNumId w:val="2"/>
  </w:num>
  <w:num w:numId="20" w16cid:durableId="65622890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099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AE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1E66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62F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67A8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15A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126"/>
    <w:rsid w:val="00377F0E"/>
    <w:rsid w:val="00380601"/>
    <w:rsid w:val="00381119"/>
    <w:rsid w:val="00386B80"/>
    <w:rsid w:val="00387366"/>
    <w:rsid w:val="003901F2"/>
    <w:rsid w:val="00391297"/>
    <w:rsid w:val="00391F9D"/>
    <w:rsid w:val="0039224F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373EF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2B91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D33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076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0BA7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74B7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16F4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AB8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211D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2B09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618E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6BB7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975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481B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3EE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30D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3D7B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1C9E"/>
    <w:rsid w:val="00CB2F29"/>
    <w:rsid w:val="00CB3F07"/>
    <w:rsid w:val="00CB5E3F"/>
    <w:rsid w:val="00CB6B7E"/>
    <w:rsid w:val="00CB7A32"/>
    <w:rsid w:val="00CB7C62"/>
    <w:rsid w:val="00CC020C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997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16633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3393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3AD1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4ACF"/>
    <w:rsid w:val="00EF6E0C"/>
    <w:rsid w:val="00EF7F63"/>
    <w:rsid w:val="00F0166E"/>
    <w:rsid w:val="00F01B3F"/>
    <w:rsid w:val="00F044CE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67D5E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4D0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189A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0036-2F2B-4A38-9BB7-F6D69545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2245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2023-02-16T11:55:00Z</cp:lastPrinted>
  <dcterms:created xsi:type="dcterms:W3CDTF">2024-02-09T17:38:00Z</dcterms:created>
  <dcterms:modified xsi:type="dcterms:W3CDTF">2024-09-27T17:52:00Z</dcterms:modified>
</cp:coreProperties>
</file>